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C9CD" w14:textId="6B395664" w:rsidR="00AC769A" w:rsidRPr="00AC769A" w:rsidRDefault="00AC769A" w:rsidP="00AC769A">
      <w:pPr>
        <w:spacing w:after="105" w:line="750" w:lineRule="atLeast"/>
        <w:outlineLvl w:val="0"/>
        <w:rPr>
          <w:rFonts w:ascii="Arial" w:eastAsia="Times New Roman" w:hAnsi="Arial" w:cs="Arial"/>
          <w:color w:val="111111"/>
          <w:kern w:val="36"/>
          <w:sz w:val="18"/>
          <w:szCs w:val="18"/>
          <w:lang w:eastAsia="es-CO"/>
        </w:rPr>
      </w:pPr>
      <w:r w:rsidRPr="00AC769A">
        <w:rPr>
          <w:rFonts w:ascii="Arial" w:eastAsia="Times New Roman" w:hAnsi="Arial" w:cs="Arial"/>
          <w:color w:val="111111"/>
          <w:kern w:val="36"/>
          <w:sz w:val="18"/>
          <w:szCs w:val="18"/>
          <w:lang w:eastAsia="es-CO"/>
        </w:rPr>
        <w:t>https://encolombia.com/derecho/leyes/estatuto-tributario/regimen-tributario-especial/</w:t>
      </w:r>
    </w:p>
    <w:p w14:paraId="09BA7259" w14:textId="4691224D" w:rsidR="00735F5E" w:rsidRDefault="00735F5E" w:rsidP="00735F5E">
      <w:pPr>
        <w:spacing w:after="105" w:line="750" w:lineRule="atLeast"/>
        <w:jc w:val="center"/>
        <w:outlineLvl w:val="0"/>
        <w:rPr>
          <w:rFonts w:ascii="Arial" w:eastAsia="Times New Roman" w:hAnsi="Arial" w:cs="Arial"/>
          <w:color w:val="111111"/>
          <w:kern w:val="36"/>
          <w:sz w:val="32"/>
          <w:szCs w:val="32"/>
          <w:lang w:eastAsia="es-CO"/>
        </w:rPr>
      </w:pPr>
      <w:r w:rsidRPr="00735F5E">
        <w:rPr>
          <w:rFonts w:ascii="Arial" w:eastAsia="Times New Roman" w:hAnsi="Arial" w:cs="Arial"/>
          <w:color w:val="111111"/>
          <w:kern w:val="36"/>
          <w:sz w:val="32"/>
          <w:szCs w:val="32"/>
          <w:lang w:eastAsia="es-CO"/>
        </w:rPr>
        <w:t>Régimen Tributario Especial</w:t>
      </w:r>
    </w:p>
    <w:p w14:paraId="37AC73D8" w14:textId="15877C5B" w:rsidR="00735F5E" w:rsidRPr="00735F5E" w:rsidRDefault="00735F5E" w:rsidP="00735F5E">
      <w:pPr>
        <w:spacing w:after="105" w:line="750" w:lineRule="atLeast"/>
        <w:jc w:val="center"/>
        <w:outlineLvl w:val="0"/>
        <w:rPr>
          <w:rFonts w:ascii="Arial" w:eastAsia="Times New Roman" w:hAnsi="Arial" w:cs="Arial"/>
          <w:color w:val="111111"/>
          <w:kern w:val="36"/>
          <w:sz w:val="28"/>
          <w:szCs w:val="28"/>
          <w:lang w:eastAsia="es-CO"/>
        </w:rPr>
      </w:pPr>
      <w:r w:rsidRPr="00735F5E">
        <w:rPr>
          <w:rFonts w:ascii="Arial" w:eastAsia="Times New Roman" w:hAnsi="Arial" w:cs="Arial"/>
          <w:color w:val="111111"/>
          <w:sz w:val="28"/>
          <w:szCs w:val="28"/>
          <w:lang w:eastAsia="es-CO"/>
        </w:rPr>
        <w:t>Título VI.</w:t>
      </w:r>
    </w:p>
    <w:p w14:paraId="6DE4EFCC" w14:textId="292B565F" w:rsidR="00735F5E" w:rsidRPr="00735F5E" w:rsidRDefault="00735F5E" w:rsidP="00735F5E">
      <w:pPr>
        <w:shd w:val="clear" w:color="auto" w:fill="FFFFFF"/>
        <w:spacing w:before="405" w:after="255" w:line="450" w:lineRule="atLeast"/>
        <w:jc w:val="both"/>
        <w:outlineLvl w:val="2"/>
        <w:rPr>
          <w:rFonts w:ascii="Arial" w:eastAsia="Times New Roman" w:hAnsi="Arial" w:cs="Arial"/>
          <w:b/>
          <w:bCs/>
          <w:color w:val="111111"/>
          <w:lang w:eastAsia="es-CO"/>
        </w:rPr>
      </w:pPr>
      <w:r w:rsidRPr="00735F5E">
        <w:rPr>
          <w:rFonts w:ascii="Arial" w:eastAsia="Times New Roman" w:hAnsi="Arial" w:cs="Arial"/>
          <w:b/>
          <w:bCs/>
          <w:color w:val="111111"/>
          <w:lang w:eastAsia="es-CO"/>
        </w:rPr>
        <w:t>ARTICULO 356. TRATAMIENTO ESPECIAL PARA ALGUNOS</w:t>
      </w:r>
      <w:r w:rsidRPr="00735F5E">
        <w:rPr>
          <w:rFonts w:ascii="Arial" w:eastAsia="Times New Roman" w:hAnsi="Arial" w:cs="Arial"/>
          <w:b/>
          <w:bCs/>
          <w:color w:val="111111"/>
          <w:lang w:eastAsia="es-CO"/>
        </w:rPr>
        <w:t xml:space="preserve"> </w:t>
      </w:r>
      <w:r w:rsidRPr="00735F5E">
        <w:rPr>
          <w:rFonts w:ascii="Arial" w:eastAsia="Times New Roman" w:hAnsi="Arial" w:cs="Arial"/>
          <w:b/>
          <w:bCs/>
          <w:color w:val="111111"/>
          <w:lang w:eastAsia="es-CO"/>
        </w:rPr>
        <w:t>CONTRIBUYENTES.</w:t>
      </w:r>
    </w:p>
    <w:p w14:paraId="02D0462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contribuyentes a que se refiere el artículo 19 que sean calificados en el Registro Único Tributario como pertenecientes a Régimen Tributario Especial. Están sometidos al impuesto de renta y complementarios sobre el beneficio neto o excedente a la tarifa única del veinte por ciento (20%).</w:t>
      </w:r>
    </w:p>
    <w:p w14:paraId="0B1FB59D"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356-1. DISTRIBUCIÓN INDIRECTA DE EXCEDENTES Y REMUNERACIÓN DE LOS CARGOS DIRECTIVOS DE CONTRIBUYENTES PERTENECIENTES AL RÉGIMEN TRIBUTARIO ESPECIAL.</w:t>
      </w:r>
    </w:p>
    <w:p w14:paraId="5A86F60B"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pagos por prestación de servicios, arrendamientos, honorarios, comisiones, intereses, bonificaciones especiales y cualquier otro tipo de pagos. Cuando sean realizados a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deberán corresponder a precios comerciales promedio de acuerdo con la naturaleza de los servicios o productos objeto de la transacción. En caso contrario, podrán ser considerados por la administración tributaria como una distribución indirecta de excedentes y por ende procederá lo establecido en el artículo 364-3.</w:t>
      </w:r>
    </w:p>
    <w:p w14:paraId="0699E2B3"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 xml:space="preserve">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w:t>
      </w:r>
      <w:r w:rsidRPr="00735F5E">
        <w:rPr>
          <w:rFonts w:ascii="Arial" w:eastAsia="Times New Roman" w:hAnsi="Arial" w:cs="Arial"/>
          <w:color w:val="111111"/>
          <w:lang w:eastAsia="es-CO"/>
        </w:rPr>
        <w:lastRenderedPageBreak/>
        <w:t>en conjunto u otras entidades donde se tenga control, para que la DIAN determine si el acto jurídico constituye una distribución indirecta de excedentes. En caso de así determinarlo, se seguirá el procedimiento de exclusión del artículo 364-3.</w:t>
      </w:r>
    </w:p>
    <w:p w14:paraId="589AA7FF"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Únicamente se admitirán pagos laborales a los administradores y al representante legal, siempre y cuando la entidad demuestre el pago de los aportes a la seguridad social y parafiscales. Para ello, el representante legal deberá tener vínculo laboral. Lo dispuesto en este inciso no les será aplicable a los miembros de junta directiva.</w:t>
      </w:r>
    </w:p>
    <w:p w14:paraId="402BB99A" w14:textId="77777777" w:rsidR="00735F5E" w:rsidRPr="00735F5E" w:rsidRDefault="00735F5E" w:rsidP="00735F5E">
      <w:pPr>
        <w:shd w:val="clear" w:color="auto" w:fill="FFFFFF"/>
        <w:spacing w:after="0" w:line="240" w:lineRule="auto"/>
        <w:jc w:val="both"/>
        <w:textAlignment w:val="baseline"/>
        <w:rPr>
          <w:rFonts w:ascii="Arial" w:eastAsia="Times New Roman" w:hAnsi="Arial" w:cs="Arial"/>
          <w:color w:val="FFFFFF"/>
          <w:lang w:eastAsia="es-CO"/>
        </w:rPr>
      </w:pPr>
      <w:r w:rsidRPr="00735F5E">
        <w:rPr>
          <w:rFonts w:ascii="Arial" w:eastAsia="Times New Roman" w:hAnsi="Arial" w:cs="Arial"/>
          <w:color w:val="FFFFFF"/>
          <w:lang w:eastAsia="es-CO"/>
        </w:rPr>
        <w:t>219.2K</w:t>
      </w:r>
    </w:p>
    <w:p w14:paraId="687C2C39" w14:textId="77777777" w:rsidR="00735F5E" w:rsidRPr="00735F5E" w:rsidRDefault="00735F5E" w:rsidP="00735F5E">
      <w:pPr>
        <w:shd w:val="clear" w:color="auto" w:fill="FFFFFF"/>
        <w:spacing w:after="100" w:line="240" w:lineRule="auto"/>
        <w:jc w:val="both"/>
        <w:textAlignment w:val="baseline"/>
        <w:rPr>
          <w:rFonts w:ascii="Arial" w:eastAsia="Times New Roman" w:hAnsi="Arial" w:cs="Arial"/>
          <w:color w:val="FFFFFF"/>
          <w:lang w:eastAsia="es-CO"/>
        </w:rPr>
      </w:pPr>
      <w:r w:rsidRPr="00735F5E">
        <w:rPr>
          <w:rFonts w:ascii="Arial" w:eastAsia="Times New Roman" w:hAnsi="Arial" w:cs="Arial"/>
          <w:color w:val="FFFFFF"/>
          <w:lang w:eastAsia="es-CO"/>
        </w:rPr>
        <w:t>Ensalada de pasta con tomates secos</w:t>
      </w:r>
    </w:p>
    <w:p w14:paraId="7EB97A6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presupuesto destinado a remunerar, retribuir o financiar cualquier erogación, en dinero o en especie, por nómina, contratación o comisión, a las personas que ejercen cargos directivos y gerenciales de las entidades contribuyentes de que trata el artículo 19 de este Estatuto que tengan ingresos brutos anuales superiores a 3.500 UVT, no podrá exceder del treinta por ciento (30%) del gasto total anual de la respectiva entidad.</w:t>
      </w:r>
    </w:p>
    <w:p w14:paraId="2C995FEA"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13016B27"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p w14:paraId="38787429"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p>
    <w:p w14:paraId="000D1D3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aportes iniciales que hacen los fundadores al momento de la constitución de la entidad sin ánimo de lucro y los aportes a futuro que hacen personas naturales o jurídicas diferentes a los fundadores. No generan ningún tipo de derecho de retorno para el aportante, no serán reembolsables durante la vida de la entidad ni al momento de su liquidación.</w:t>
      </w:r>
    </w:p>
    <w:p w14:paraId="1225A18B"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3o.</w:t>
      </w:r>
    </w:p>
    <w:p w14:paraId="48B30293"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adquisiciones o pagos de las que trata el inciso 1o de este artículo que realicen los contribuyentes pertenecientes al Régimen Tributario Especial podrán hacerse por debajo de los precios comerciales promedio. Siempre y cuando dichas transacciones sean destinadas al cumplimiento y desarrollo de sus actividades meritorias. En caso de ser una entidad obligada a enviar memoria económica en los términos del artículo 356-3 de este Estatuto. Deberá dejar constancia de la transacción y del contexto de la donación en la misma, so pena de ser considerada una distribución indirecta de excedentes.</w:t>
      </w:r>
    </w:p>
    <w:p w14:paraId="1676A7ED"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4o.</w:t>
      </w:r>
    </w:p>
    <w:p w14:paraId="6114ED4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pagos y los contratos a los que se refieren los incisos 1o y 2o del presente artículo no serán considerados como distribución indirecta de excedentes, cuando se realicen entre dos entidades que hayan sido admitidas y calificadas dentro del Régimen Tributario Especial.</w:t>
      </w:r>
    </w:p>
    <w:p w14:paraId="7AE00094"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5o.</w:t>
      </w:r>
    </w:p>
    <w:p w14:paraId="7E831FA7"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pagos y los contratos a los que se refieren los incisos 1o y 2o del presente artículo deberán ser expensas y pagos necesarios para el cumplimiento de la actividad meritoria en virtud de la cual la entidad respectiva fue calificada dentro del Régimen Tributario Especial.</w:t>
      </w:r>
    </w:p>
    <w:p w14:paraId="07624D78"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356-2. CALIFICACIÓN AL RÉGIMEN TRIBUTARIO ESPECIAL.</w:t>
      </w:r>
    </w:p>
    <w:p w14:paraId="6142BB8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de que trata el artículo 19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artículo 364-5 de este Estatuto.</w:t>
      </w:r>
    </w:p>
    <w:p w14:paraId="5821EA9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Surtido el trámite previsto en el artículo 364-5 de este estatuto, la Dirección de Impuestos y Aduanas Nacionales (DIAN) procederá a autorizar su calificación en el Registro Único Tributario. En cualquier caso, la administración tributaria, previa comprobación y mediante acto administrativo debidamente motivado. Decidirá sobre la calificación en el Régimen Tributario Especial de las entidades respectivas.</w:t>
      </w:r>
    </w:p>
    <w:p w14:paraId="2831589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En caso de que la Administración Tributaria compruebe el incumplimiento de los requisitos al momento de la solicitud, la entidad no podrá ser registrada en el RUT como contribuyente del Régimen Tributario Especial y seguirá perteneciendo al régimen tributario ordinario. Para lo cual se expedirá el correspondiente acto administrativo, contra el que procede recurso de reposición.</w:t>
      </w:r>
    </w:p>
    <w:p w14:paraId="082008AD"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TRANSITORIO.</w:t>
      </w:r>
    </w:p>
    <w:p w14:paraId="4FF97F5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a las que se refieren los parágrafos transitorios 1o y 2o del artículo 19 de este Estatuto deberán presentar ante la administración tributaria los documentos que para el efecto establezca el reglamento. A través de los sistemas informáticos que para estos fines adopte la Dirección de Impuestos y Aduanas Nacionales (DIAN). Estos documentos serán objeto de verificación y se someterán al procedimiento previsto en el artículo 364-5 de este Estatuto. Estas entidades pertenecerán al Régimen Tributario Especial sin necesidad de pronunciamiento expreso por parte de la DIAN. Excepto en aquellos casos en que se decida modificar dicha calidad, para lo cual se expedirá el acto administrativo correspondiente a más tardar el 31 de octubre de 2018. Contra dicho acto administrativo procederá recurso de reposición.</w:t>
      </w:r>
    </w:p>
    <w:p w14:paraId="3196B958"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356-3. ACTUALIZACIÓN DEL RUT PARA LOS CONTRIBUYENTES DEL RÉGIMEN TRIBUTARIO ESPECIAL.</w:t>
      </w:r>
    </w:p>
    <w:p w14:paraId="7E513A2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contribuyentes pertenecientes al Régimen Tributario Especial actualizarán anualmente su calificación de contribuyentes del Régimen Tributario Especial contenido en el RUT, por regla general, con la simple presentación de la declaración de renta.</w:t>
      </w:r>
    </w:p>
    <w:p w14:paraId="0D3124E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que hayan obtenido ingresos superiores a 160.000 UVT en el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14:paraId="31610B2E" w14:textId="77777777" w:rsidR="00735F5E" w:rsidRPr="00735F5E" w:rsidRDefault="00735F5E" w:rsidP="00735F5E">
      <w:pPr>
        <w:shd w:val="clear" w:color="auto" w:fill="FFFFFF"/>
        <w:spacing w:after="0" w:line="360" w:lineRule="atLeast"/>
        <w:jc w:val="both"/>
        <w:rPr>
          <w:rFonts w:ascii="Arial" w:eastAsia="Times New Roman" w:hAnsi="Arial" w:cs="Arial"/>
          <w:color w:val="666666"/>
          <w:lang w:eastAsia="es-CO"/>
        </w:rPr>
      </w:pPr>
      <w:hyperlink r:id="rId4" w:tgtFrame="__blank" w:history="1">
        <w:r w:rsidRPr="00735F5E">
          <w:rPr>
            <w:rFonts w:ascii="Arial" w:eastAsia="Times New Roman" w:hAnsi="Arial" w:cs="Arial"/>
            <w:color w:val="FFFFFF"/>
            <w:u w:val="single"/>
            <w:bdr w:val="none" w:sz="0" w:space="0" w:color="auto" w:frame="1"/>
            <w:shd w:val="clear" w:color="auto" w:fill="008000"/>
            <w:lang w:eastAsia="es-CO"/>
          </w:rPr>
          <w:t>Ver: Transporte de Mercancía para Tiendas Online de Alimentos</w:t>
        </w:r>
      </w:hyperlink>
      <w:r w:rsidRPr="00735F5E">
        <w:rPr>
          <w:rFonts w:ascii="Arial" w:eastAsia="Times New Roman" w:hAnsi="Arial" w:cs="Arial"/>
          <w:color w:val="666666"/>
          <w:lang w:eastAsia="es-CO"/>
        </w:rPr>
        <w:t>  </w:t>
      </w:r>
    </w:p>
    <w:p w14:paraId="72F6C11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Aquellas entidades sin ánimo de lucro pertenecientes al Régimen Tributario Especial que no cumplan con los requisitos establecidos en el presente artículo y sus reglamentaciones serán determinadas como sociedades comerciales. Sometidas al régimen general del impuesto sobre la renta, de acuerdo con el artículo 364-3.</w:t>
      </w:r>
    </w:p>
    <w:p w14:paraId="7F59B5D0"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w:t>
      </w:r>
    </w:p>
    <w:p w14:paraId="2FA0EA8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Gobierno nacional reglamentará las características que deberá cumplir la memoria económica de que trata el presente artículo y los plazos para su presentación.</w:t>
      </w:r>
    </w:p>
    <w:p w14:paraId="4B51B0D4"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357. DETERMINACIÓN DEL BENEFICIO NETO O EXCEDENTE.</w:t>
      </w:r>
    </w:p>
    <w:p w14:paraId="17F99DEB"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Para determinar el beneficio neto o excedente se tomará la totalidad de los ingresos, cualquiera sea su naturaleza, y se restará el valor de los egresos de cualquier naturaleza, que tengan relación de causalidad con los ingresos o con el cumplimiento de su objeto social de conformidad con lo dispuesto en este Título. Incluyendo en los egresos las inversiones que hagan en cumplimiento </w:t>
      </w:r>
      <w:proofErr w:type="gramStart"/>
      <w:r w:rsidRPr="00735F5E">
        <w:rPr>
          <w:rFonts w:ascii="Arial" w:eastAsia="Times New Roman" w:hAnsi="Arial" w:cs="Arial"/>
          <w:color w:val="666666"/>
          <w:lang w:eastAsia="es-CO"/>
        </w:rPr>
        <w:t>del mismo</w:t>
      </w:r>
      <w:proofErr w:type="gramEnd"/>
      <w:r w:rsidRPr="00735F5E">
        <w:rPr>
          <w:rFonts w:ascii="Arial" w:eastAsia="Times New Roman" w:hAnsi="Arial" w:cs="Arial"/>
          <w:color w:val="666666"/>
          <w:lang w:eastAsia="es-CO"/>
        </w:rPr>
        <w:t>.</w:t>
      </w:r>
    </w:p>
    <w:p w14:paraId="5E2BFF3C"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358. EXENCIÓN SOBRE EL BENEFICIO NETO O EXCEDENTE.</w:t>
      </w:r>
    </w:p>
    <w:p w14:paraId="58EB89D8"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beneficio neto o excedente determinado de conformidad con el artículo 357 tendrá el carácter de exento, cuando se destine directa o indirectamente, en el año siguiente a aquel en el cual se obtuvo, a programas que desarrollen el objeto social y la actividad meritoria de la entidad.</w:t>
      </w:r>
    </w:p>
    <w:p w14:paraId="5F1416A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parte del beneficio neto o excedente que no se invierta en los programas que desarrollen su objeto social, tendrá el carácter de gravable en el año en que esto ocurra.</w:t>
      </w:r>
    </w:p>
    <w:p w14:paraId="20B525A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Los ingresos obtenidos por las entidades admitidas al Régimen Tributario Especial, correspondientes a la ejecución de contratos de obra pública y de interventoría, cualquiera que sea la modalidad de </w:t>
      </w:r>
      <w:proofErr w:type="gramStart"/>
      <w:r w:rsidRPr="00735F5E">
        <w:rPr>
          <w:rFonts w:ascii="Arial" w:eastAsia="Times New Roman" w:hAnsi="Arial" w:cs="Arial"/>
          <w:color w:val="666666"/>
          <w:lang w:eastAsia="es-CO"/>
        </w:rPr>
        <w:t>los mismos</w:t>
      </w:r>
      <w:proofErr w:type="gramEnd"/>
      <w:r w:rsidRPr="00735F5E">
        <w:rPr>
          <w:rFonts w:ascii="Arial" w:eastAsia="Times New Roman" w:hAnsi="Arial" w:cs="Arial"/>
          <w:color w:val="666666"/>
          <w:lang w:eastAsia="es-CO"/>
        </w:rPr>
        <w:t>,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14:paraId="607291F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excedentes descritos en el presente artículo serán exentos, siempre y cuando la entidad sin ánimo de lucro se encuentre calificada dentro del RUT como entidad del Régimen Tributario Especial y cumpla con lo dispuesto en los artículos 19 a 23 y lo dispuesto en el Título I, Capítulo VI del Libro I del presente Estatuto.</w:t>
      </w:r>
    </w:p>
    <w:p w14:paraId="2655CAAE"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444D3FE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excedentes determinados como exentos deben estar debidamente soportados en el sistema de registro de las diferencias de los nuevos marcos normativos de la contabilidad.</w:t>
      </w:r>
    </w:p>
    <w:p w14:paraId="6299D184"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p>
    <w:p w14:paraId="4207A92B"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w:t>
      </w:r>
    </w:p>
    <w:p w14:paraId="3AF1A5E5"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358-1. RENTA POR COMPARACIÓN PATRIMONIAL.</w:t>
      </w:r>
    </w:p>
    <w:p w14:paraId="637622C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contribuyentes del Régimen Tributario Especial estarán sometidos al régimen de renta por comparación patrimonial.</w:t>
      </w:r>
    </w:p>
    <w:p w14:paraId="4620E4F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Cuando el beneficio neto o excedente exento determinado de conformidad con el artículo 357 de este Estatuto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14:paraId="76FBB15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Para efectos de la determinación de la renta por comparación de patrimonios, al beneficio neto o excedente se adicionará el beneficio neto o excedente exento determinado de conformidad con el artículo 357 de este Estatuto. De esta suma, se sustrae el valor de los impuestos de renta y complementarios pagados durante el año gravable.</w:t>
      </w:r>
    </w:p>
    <w:p w14:paraId="30CE3A0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En lo concerniente al patrimonio se harán previamente los ajustes por valorizaciones y desvalorizaciones nominales.</w:t>
      </w:r>
    </w:p>
    <w:p w14:paraId="72942096"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359. OBJETO SOCIAL.</w:t>
      </w:r>
    </w:p>
    <w:p w14:paraId="37B30DBC"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objeto social de las entidades sin ánimo de lucro que hace procedente su admisión al Régimen Tributario Especial de que trata el presente Capítulo y el artículo 19 del presente Estatuto. Deberá corresponder a cualquiera de las siguientes actividades meritorias, siempre y cuando las mismas sean de interés general y que a ellas tenga acceso la comunidad:</w:t>
      </w:r>
    </w:p>
    <w:p w14:paraId="6B22A6DB"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1. Educación. Conforme se define por las Leyes 30 de 1992 y 115 de 1994, 1064 de 2006, y 1804 de 2016. La cual puede ser:</w:t>
      </w:r>
    </w:p>
    <w:p w14:paraId="2B681D4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a) Educación inicial, como uno de los componentes de la atención integral de la primera infancia;</w:t>
      </w:r>
      <w:r w:rsidRPr="00735F5E">
        <w:rPr>
          <w:rFonts w:ascii="Arial" w:eastAsia="Times New Roman" w:hAnsi="Arial" w:cs="Arial"/>
          <w:color w:val="666666"/>
          <w:lang w:eastAsia="es-CO"/>
        </w:rPr>
        <w:br/>
        <w:t>b) Educación formal: conformada por los niveles de preescolar, básica y media;</w:t>
      </w:r>
      <w:r w:rsidRPr="00735F5E">
        <w:rPr>
          <w:rFonts w:ascii="Arial" w:eastAsia="Times New Roman" w:hAnsi="Arial" w:cs="Arial"/>
          <w:color w:val="666666"/>
          <w:lang w:eastAsia="es-CO"/>
        </w:rPr>
        <w:br/>
        <w:t>c) Educación superior, en sus diferentes niveles: técnico profesional, tecnológico y profesional universitario;</w:t>
      </w:r>
      <w:r w:rsidRPr="00735F5E">
        <w:rPr>
          <w:rFonts w:ascii="Arial" w:eastAsia="Times New Roman" w:hAnsi="Arial" w:cs="Arial"/>
          <w:color w:val="666666"/>
          <w:lang w:eastAsia="es-CO"/>
        </w:rPr>
        <w:br/>
        <w:t>d) Educación para el trabajo y desarrollo humano.</w:t>
      </w:r>
    </w:p>
    <w:p w14:paraId="543871E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 dispuesto en este numeral también comprende las actividades de promoción y apoyo a la expansión de cobertura y mejora de la calidad de la educación en Colombia.</w:t>
      </w:r>
    </w:p>
    <w:p w14:paraId="14778D5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2. Salud. La prestación o desarrollo de actividades o servicios, individuales o colectivos, de promoción de salud, prevención de las enfermedades, atención y curación de enfermedades en cualquiera de sus niveles de complejidad, rehabilitación de la salud y/o apoyo al mejoramiento del sistema de salud o salud pública, por parte de entidades debidamente habilitadas por el Ministerio de Salud y Protección Social o por las autoridades competentes, exceptuando las exclusiones de la Ley Estatutaria 1751 de 2015.</w:t>
      </w:r>
    </w:p>
    <w:p w14:paraId="4975AF8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3. Cultura. Actividades culturales definidas por la Ley 397 de 1997 y aquellas actividades de promoción y desarrollo de la actividad cultural.</w:t>
      </w:r>
    </w:p>
    <w:p w14:paraId="42DA8F2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4. Ciencia, tecnología e innovación. Actividades definidas por la Ley 1286 de 2009 y las que se desarrollen dentro de los proyectos aprobados por Colciencias. Asimismo, las actividades de investigación en áreas tales como matemáticas, física, química, biología y ciencias sociales, como economía, política, sociología y derecho de uso general.</w:t>
      </w:r>
    </w:p>
    <w:p w14:paraId="55B19F5B"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5. Actividades de desarrollo social, que comprende las siguientes actividades:</w:t>
      </w:r>
    </w:p>
    <w:p w14:paraId="1A3B530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a) Protección, asistencia y promoción de los derechos de las poblaciones de especial protección constitucional, minorías, poblaciones en situación de vulnerabilidad, exclusión y discriminación; tales como niños, niñas, adolescentes y jóvenes, personas con discapacidad, personas mayores, grupos y comunidades étnicas, víctimas del conflicto, población desmovilizada, mujeres, población con orientación sexual e identidad de género diversa, población reclusa, población en situación de pobreza y pobreza extrema, población rural o campesina, entre otras;</w:t>
      </w:r>
    </w:p>
    <w:p w14:paraId="70EC2B3F"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b) Desarrollo, promoción, mejoramiento de la calidad y cobertura de los servicios públicos y los servicios públicos domiciliarios, así como el avance en las metas de desarrollo fijadas por la Organización de las Naciones Unidas;</w:t>
      </w:r>
    </w:p>
    <w:p w14:paraId="2F44009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c) Actividades orientadas a la promoción y desarrollo de la transparencia, al control social, a la lucha contra la corrupción, a la construcción de paz, al desarrollo de las políticas públicas y la participación ciudadana;</w:t>
      </w:r>
    </w:p>
    <w:p w14:paraId="5ED70ECC"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d) Actividades de apoyo a la recreación de familias de escasos recursos, desarrollo y mantenimiento de parques y centros de diversión, siempre y cuando sean para acceso general a la comunidad.</w:t>
      </w:r>
    </w:p>
    <w:p w14:paraId="7B5F8A9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6. Actividades de protección al medio ambiente. Conservación, recuperación, protección, manejo, uso y aprovechamiento de los recursos naturales renovables y el medio ambiente sostenible.</w:t>
      </w:r>
    </w:p>
    <w:p w14:paraId="1B53AA14"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7. Prevención del uso y consumo de sustancias psicoactivas, alcohol y tabaco; atención y tratamiento a las personas consumidoras.</w:t>
      </w:r>
    </w:p>
    <w:p w14:paraId="73B08D2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8. Promoción y apoyo a las actividades deportivas definidas por la Ley 181 de 1995, mediante las políticas públicas y las entidades competentes.</w:t>
      </w:r>
    </w:p>
    <w:p w14:paraId="5724848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9. Actividades de desarrollo empresarial. Promoción del desarrollo empresarial y el emprendimiento definido por la Ley 1014 de 2006.</w:t>
      </w:r>
    </w:p>
    <w:p w14:paraId="2EFD5469"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10. Promoción y apoyo a los derechos humanos y los objetivos globales definidos por las Naciones Unidas.</w:t>
      </w:r>
    </w:p>
    <w:p w14:paraId="479C156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11. Actividades de promoción y mejoramiento de la Administración de Justicia.</w:t>
      </w:r>
    </w:p>
    <w:p w14:paraId="49EE521B"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12. Promoción y apoyo a entidades sin ánimo de lucro que ejecuten acciones directas en el territorio nacional en alguna de las actividades meritorias descritas en este artículo.</w:t>
      </w:r>
    </w:p>
    <w:p w14:paraId="56D0C467"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13. Actividades de microcrédito, en los términos del artículo 39 de la Ley 590 de 2000.</w:t>
      </w:r>
    </w:p>
    <w:p w14:paraId="220B8128"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2E6697E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Se entenderá que la actividad es de interés general cuando beneficia a un grupo poblacional (sector, barrio o comunidad determinada).</w:t>
      </w:r>
    </w:p>
    <w:p w14:paraId="30DF2203"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p>
    <w:p w14:paraId="7B28886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Se considera que la entidad sin ánimo de lucro permite el acceso a la comunidad, cuando cualquier persona natural o jurídica puede acceder a las actividades que realiza la entidad sin ningún tipo de restricción, excepto aquellas que la ley contempla y las referidas a la capacidad misma de la entidad. Asimismo, se considera que la entidad sin ánimo de lucro permite el acceso a la comunidad. Cuando hace oferta abierta de los servicios y actividades que realiza en desarrollo de su objeto social, permitiendo que terceros puedan beneficiarse de ellas, en las mismas condiciones que los miembros de la entidad, o sus familiares.</w:t>
      </w:r>
    </w:p>
    <w:p w14:paraId="5D06DEC4"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360. AUTORIZACIÓN PARA UTILIZAR PLAZOS ADICIONALES PARA INVERTIR.</w:t>
      </w:r>
    </w:p>
    <w:p w14:paraId="6B9CFA5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Cuando se trate de programas cuya ejecución requiera plazos adicionales al contemplado en el artículo 358, o se trate de asignaciones permanentes, la entidad deberá contar con la aprobación de su Asamblea General o del órgano de dirección que haga sus veces.</w:t>
      </w:r>
    </w:p>
    <w:p w14:paraId="003BCB9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órgano de dirección de las entidades que desarrollen las actividades meritorias definidas en el artículo 359, debe aprobar los excedentes generados, y dejar constancia en el acta de la destinación de dichos excedentes, de los plazos que se definan para tal efecto y del porcentaje que se autorice para incrementar su patrimonio.</w:t>
      </w:r>
    </w:p>
    <w:p w14:paraId="10FE5BD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reunión del órgano de dirección debe celebrarse con anterioridad al 31 de marzo de cada año.</w:t>
      </w:r>
    </w:p>
    <w:p w14:paraId="0916F85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w:t>
      </w:r>
    </w:p>
    <w:p w14:paraId="5142F024"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w:t>
      </w:r>
    </w:p>
    <w:p w14:paraId="100377B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proofErr w:type="gramStart"/>
      <w:r w:rsidRPr="00735F5E">
        <w:rPr>
          <w:rFonts w:ascii="Arial" w:eastAsia="Times New Roman" w:hAnsi="Arial" w:cs="Arial"/>
          <w:color w:val="666666"/>
          <w:lang w:eastAsia="es-CO"/>
        </w:rPr>
        <w:t>En caso que</w:t>
      </w:r>
      <w:proofErr w:type="gramEnd"/>
      <w:r w:rsidRPr="00735F5E">
        <w:rPr>
          <w:rFonts w:ascii="Arial" w:eastAsia="Times New Roman" w:hAnsi="Arial" w:cs="Arial"/>
          <w:color w:val="666666"/>
          <w:lang w:eastAsia="es-CO"/>
        </w:rPr>
        <w:t xml:space="preserve"> la Entidad sin ánimo de lucro requiera realizar asignaciones permanentes que superen el plazo de los cinco (5) años. Deberá realizar una solicitud en tal respecto ante la dependencia que el Director de Impuestos y Aduanas Nacionales mediante resolución.</w:t>
      </w:r>
    </w:p>
    <w:p w14:paraId="701577D5"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361. EXCEPCIONES AL TRATAMIENTO ESPECIAL.</w:t>
      </w:r>
    </w:p>
    <w:p w14:paraId="02A30EFC"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Lo dispuesto en </w:t>
      </w:r>
      <w:proofErr w:type="gramStart"/>
      <w:r w:rsidRPr="00735F5E">
        <w:rPr>
          <w:rFonts w:ascii="Arial" w:eastAsia="Times New Roman" w:hAnsi="Arial" w:cs="Arial"/>
          <w:color w:val="666666"/>
          <w:lang w:eastAsia="es-CO"/>
        </w:rPr>
        <w:t>las artículos anteriores</w:t>
      </w:r>
      <w:proofErr w:type="gramEnd"/>
      <w:r w:rsidRPr="00735F5E">
        <w:rPr>
          <w:rFonts w:ascii="Arial" w:eastAsia="Times New Roman" w:hAnsi="Arial" w:cs="Arial"/>
          <w:color w:val="666666"/>
          <w:lang w:eastAsia="es-CO"/>
        </w:rPr>
        <w:t xml:space="preserve"> no es aplicable a las entidades taxativamente enumeradas como no contribuyentes en los artículos 22 y 23.</w:t>
      </w:r>
    </w:p>
    <w:p w14:paraId="44827C8A"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362. COMITE DE CALIFICACIONES.</w:t>
      </w:r>
    </w:p>
    <w:p w14:paraId="5CF08D4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El comité de entidades sin ánimo de lucro estará integrado por el Ministro de Hacienda y Crédito Público o su delegado, quien lo presidirá. El Director de Aduanas o su delegado y el Director de Impuestos o su delegado, quien actuará como secretario </w:t>
      </w:r>
      <w:proofErr w:type="gramStart"/>
      <w:r w:rsidRPr="00735F5E">
        <w:rPr>
          <w:rFonts w:ascii="Arial" w:eastAsia="Times New Roman" w:hAnsi="Arial" w:cs="Arial"/>
          <w:color w:val="666666"/>
          <w:lang w:eastAsia="es-CO"/>
        </w:rPr>
        <w:t>del mismo</w:t>
      </w:r>
      <w:proofErr w:type="gramEnd"/>
      <w:r w:rsidRPr="00735F5E">
        <w:rPr>
          <w:rFonts w:ascii="Arial" w:eastAsia="Times New Roman" w:hAnsi="Arial" w:cs="Arial"/>
          <w:color w:val="666666"/>
          <w:lang w:eastAsia="es-CO"/>
        </w:rPr>
        <w:t>.</w:t>
      </w:r>
    </w:p>
    <w:p w14:paraId="1369CBA5"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363. FUNCIONES DEL COMITE.</w:t>
      </w:r>
    </w:p>
    <w:p w14:paraId="5CB63867"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Son funciones del Comité previsto en el artículo anterior, las siguientes:</w:t>
      </w:r>
    </w:p>
    <w:p w14:paraId="559EC1D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a. Calificar las importaciones de bienes a que se refiere el artículo 480 para efecto de la exención del impuesto sobre las ventas a dichas importaciones.</w:t>
      </w:r>
      <w:r w:rsidRPr="00735F5E">
        <w:rPr>
          <w:rFonts w:ascii="Arial" w:eastAsia="Times New Roman" w:hAnsi="Arial" w:cs="Arial"/>
          <w:color w:val="666666"/>
          <w:lang w:eastAsia="es-CO"/>
        </w:rPr>
        <w:br/>
        <w:t>b.</w:t>
      </w:r>
    </w:p>
    <w:p w14:paraId="467F9A64"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PARAGRAFO.</w:t>
      </w:r>
    </w:p>
    <w:p w14:paraId="2852D22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del régimen tributario especial no requieren de la calificación del comité para gozar de los beneficios consagrados en este Título. Para el efecto, deberán presentar la declaración de renta, dentro de los plazos que el Gobierno establezca.</w:t>
      </w:r>
    </w:p>
    <w:p w14:paraId="0C543A19"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ARTICULO 364. LAS ENTIDADES SIN ANIMO DE LUCRO ESTAN OBLIGADAS A LLEVAR LIBROS DE CONTABILIDAD REGISTRADOS.</w:t>
      </w:r>
    </w:p>
    <w:p w14:paraId="1645791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Las entidades sin ánimo de </w:t>
      </w:r>
      <w:proofErr w:type="gramStart"/>
      <w:r w:rsidRPr="00735F5E">
        <w:rPr>
          <w:rFonts w:ascii="Arial" w:eastAsia="Times New Roman" w:hAnsi="Arial" w:cs="Arial"/>
          <w:color w:val="666666"/>
          <w:lang w:eastAsia="es-CO"/>
        </w:rPr>
        <w:t>lucro,</w:t>
      </w:r>
      <w:proofErr w:type="gramEnd"/>
      <w:r w:rsidRPr="00735F5E">
        <w:rPr>
          <w:rFonts w:ascii="Arial" w:eastAsia="Times New Roman" w:hAnsi="Arial" w:cs="Arial"/>
          <w:color w:val="666666"/>
          <w:lang w:eastAsia="es-CO"/>
        </w:rPr>
        <w:t xml:space="preserve"> deberán llevar libros de contabilidad, en la forma que indique el Gobierno Nacional.</w:t>
      </w:r>
    </w:p>
    <w:p w14:paraId="02436769"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364-1. CLÁUSULA GENERAL PARA EVITAR LA ELUSIÓN FISCAL.</w:t>
      </w:r>
    </w:p>
    <w:p w14:paraId="6EE2EAE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En ningún caso se reconocerá la aplicación del Régimen Tributario Especial a aquellas entidades que abusando de las posibilidades de configuración jurídica defrauden la norma tributaria que sería aplicable, o que mediante pactos simulados encubran un negocio jurídico distinto a aquel que dicen realizar o la simple ausencia de negocio jurídico.</w:t>
      </w:r>
    </w:p>
    <w:p w14:paraId="12599B6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Le corresponde a la autoridad tributaria regularizar mediante liquidación oficial, siguiendo el procedimiento establecido en el Estatuto Tributario, los supuestos de abuso del derecho, fraude a la ley o simulación en los que incurran las entidades beneficiarias del Régimen Tributario Especial. La declaración de abuso, fraude o simulación proferida por la DIAN produce efectos exclusivamente tributarios y no está sometida a prejudicialidad alguna ni a procedimiento distinto al previsto para proferir la liquidación oficial de revisión en los artículos 702 a 714 del Estatuto Tributario. En ese acto oficial, además del impuesto eludido, se exigirán los intereses moratorios y se impondrá la sanción por inexactitud.</w:t>
      </w:r>
    </w:p>
    <w:p w14:paraId="12AA6FFE"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w:t>
      </w:r>
    </w:p>
    <w:p w14:paraId="2F972D0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 dispuesto en este artículo aplicará también a las entidades no contribuyentes declarantes y no declarantes, en lo que resulte procedente.</w:t>
      </w:r>
    </w:p>
    <w:p w14:paraId="55A64F03"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364-2. ACTOS Y CIRCUNSTANCIAS QUE CONSTITUYEN ABUSO DEL RÉGIMEN TRIBUTARIO ESPECIAL.</w:t>
      </w:r>
    </w:p>
    <w:p w14:paraId="6832032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Sin perjuicio de lo establecido en el artículo anterior, de manera particular se considera que la utilización del Régimen Tributario Especial obedece a una estructura negocial abusiva, fraudulenta o simulada, según la calificación que efectúe la autoridad en la liquidación oficial de revisión, cuando se aprecie alguna de las siguientes circunstancias:</w:t>
      </w:r>
    </w:p>
    <w:p w14:paraId="61AFB99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 El fin principal de la entidad no obedezca a un interés general mediante la realización de las actividades meritorias, sino a una explotación económica con fines de distribución de los excedentes directa o indirectamente. En la apreciación de esta circunstancia, se debe tener en cuenta entre otros factores, cuáles son las principales fuentes de percepción de ingresos y cuál es la destinación efectiva de tales recursos.</w:t>
      </w:r>
    </w:p>
    <w:p w14:paraId="2D6EFE0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2. Existan o se otorguen beneficios o condiciones especiales para acceder a los bienes o servicios ofrecidos por la entidad, a los fundadores, asociados, representantes estatutarios, miembros de los órganos de gobierno, los cónyuges o parientes hasta el cuarto grado inclusive de cualquiera de ellos o cualquier entidad o persona con la cual alguno de los antes mencionados tenga la calidad de vinculado económico de acuerdo con los artículos 260-1 y 450 del Estatuto Tributario.</w:t>
      </w:r>
    </w:p>
    <w:p w14:paraId="1614A3F8"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3. Se adquieran a cualquier título, de manera directa o indirecta, bienes o servicios a los fundadores, asociados, representantes estatutarios, miembros de los órganos de gobierno, los cónyuges o parientes hasta el cuarto grado inclusive de cualquiera de ellos o a cualquier entidad o persona con la cual alguno de los antes mencionados tenga la calidad de vinculado económico de acuerdo con los artículos 260-1 y 450 del Estatuto Tributario.</w:t>
      </w:r>
    </w:p>
    <w:p w14:paraId="30E32EDF"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4. La remuneración de los cargos de fundadores, asociados, representante estatutario y miembro del órgano de gobierno o de cualquier relación laboral contratada por la entidad le dé derecho a quien emplea su capacidad de trabajo a participar en los resultados económicos de la entidad directamente o a través de persona o entidad interpuesta.</w:t>
      </w:r>
    </w:p>
    <w:p w14:paraId="1689E95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5. Se reciben formalmente como donaciones, dinero, bienes o servicios, por los cuales, las entidades sin ánimo de lucro retribuyen directa o indirectamente al donante como contraprestación implícita por la supuesta donación. En este caso, los valores recibidos como donación serán gravados en cabeza de la entidad perceptora como ingresos distintos a los de su objeto social y adicionalmente no concederá deducción alguna al donante en el impuesto sobre la renta.</w:t>
      </w:r>
    </w:p>
    <w:p w14:paraId="43C8AD2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w:t>
      </w:r>
      <w:hyperlink r:id="rId5" w:tgtFrame="_blank" w:history="1">
        <w:r w:rsidRPr="00735F5E">
          <w:rPr>
            <w:rFonts w:ascii="Arial" w:eastAsia="Times New Roman" w:hAnsi="Arial" w:cs="Arial"/>
            <w:b/>
            <w:bCs/>
            <w:color w:val="000080"/>
            <w:shd w:val="clear" w:color="auto" w:fill="C8E2F8"/>
            <w:lang w:eastAsia="es-CO"/>
          </w:rPr>
          <w:t>Lea También: Retención en La Fuente</w:t>
        </w:r>
      </w:hyperlink>
      <w:r w:rsidRPr="00735F5E">
        <w:rPr>
          <w:rFonts w:ascii="Arial" w:eastAsia="Times New Roman" w:hAnsi="Arial" w:cs="Arial"/>
          <w:color w:val="666666"/>
          <w:lang w:eastAsia="es-CO"/>
        </w:rPr>
        <w:t>)</w:t>
      </w:r>
    </w:p>
    <w:p w14:paraId="04A6A9A0"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364-3. EXCLUSIÓN DEL RÉGIMEN TRIBUTARIO ESPECIAL.</w:t>
      </w:r>
    </w:p>
    <w:p w14:paraId="08C6226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Serán excluidas del Régimen Tributario Especial las entidades que:</w:t>
      </w:r>
    </w:p>
    <w:p w14:paraId="3422F45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 No cumplan con lo dispuesto en los artículos 19 a 23-2.</w:t>
      </w:r>
    </w:p>
    <w:p w14:paraId="3C0420B8"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2. No cumplan con lo dispuesto en el Título VI del Libro Primero del presente Estatuto.</w:t>
      </w:r>
    </w:p>
    <w:p w14:paraId="0568036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3. Cuyos miembros de junta directiva, fundadores, representantes legales o miembros de órganos de dirección:</w:t>
      </w:r>
    </w:p>
    <w:p w14:paraId="0256F74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a) Sean declarados responsables penalmente por delitos contra la administración pública, el orden económico social y contra el patrimonio económico, siempre y cuando los hechos hayan implicado la utilización de la entidad para la comisión del delito;</w:t>
      </w:r>
      <w:r w:rsidRPr="00735F5E">
        <w:rPr>
          <w:rFonts w:ascii="Arial" w:eastAsia="Times New Roman" w:hAnsi="Arial" w:cs="Arial"/>
          <w:color w:val="666666"/>
          <w:lang w:eastAsia="es-CO"/>
        </w:rPr>
        <w:br/>
        <w:t>b) Sean sancionados con la declaración de caducidad de un contrato celebrado con una entidad pública, siempre y cuando los hechos hayan implicado la utilización de la entidad para la comisión de la conducta.</w:t>
      </w:r>
    </w:p>
    <w:p w14:paraId="5D596AD5"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4A6459E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14:paraId="06D8D7D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pueden solicitar su calificación al Régimen Tributario Especial pasados tres (3) años desde su exclusión, para lo cual deberán dar cumplimiento al procedimiento previsto en el artículo 356-2 de este Estatuto.</w:t>
      </w:r>
    </w:p>
    <w:p w14:paraId="47DC46E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La exclusión de las entidades sin ánimo de lucro del Régimen Tributario Especial por el incumplimiento de los requisitos establecidos en la ley no significará que la entidad pierda su calidad de sin ánimo de lucro, salvo que la DIAN o la entidad competente demuestre que la entidad distribuyó </w:t>
      </w:r>
      <w:proofErr w:type="gramStart"/>
      <w:r w:rsidRPr="00735F5E">
        <w:rPr>
          <w:rFonts w:ascii="Arial" w:eastAsia="Times New Roman" w:hAnsi="Arial" w:cs="Arial"/>
          <w:color w:val="666666"/>
          <w:lang w:eastAsia="es-CO"/>
        </w:rPr>
        <w:t>excedentes contrario</w:t>
      </w:r>
      <w:proofErr w:type="gramEnd"/>
      <w:r w:rsidRPr="00735F5E">
        <w:rPr>
          <w:rFonts w:ascii="Arial" w:eastAsia="Times New Roman" w:hAnsi="Arial" w:cs="Arial"/>
          <w:color w:val="666666"/>
          <w:lang w:eastAsia="es-CO"/>
        </w:rPr>
        <w:t xml:space="preserve"> a lo dispuesto en el artículo 356-1 del presente Estatuto.</w:t>
      </w:r>
    </w:p>
    <w:p w14:paraId="68995E9D"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p>
    <w:p w14:paraId="5ECFA48B"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 previsto en el numeral 3o de este artículo impedirá la calificación en el Régimen Tributario Especial.</w:t>
      </w:r>
    </w:p>
    <w:p w14:paraId="5EE85DD5"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3o.</w:t>
      </w:r>
    </w:p>
    <w:p w14:paraId="13649F74"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administración tributaria, previa comprobación y mediante acto administrativo debidamente motivado, podrá excluir del Régimen Tributario Especial a las entidades de que trata el artículo 19-4 del presente Estatuto que:</w:t>
      </w:r>
    </w:p>
    <w:p w14:paraId="1645EE4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 No cumplan con las obligaciones establecidas en la legislación cooperativa vigente y aquellas establecidas en el artículo 19-4.</w:t>
      </w:r>
    </w:p>
    <w:p w14:paraId="13D2B1B3"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2. Destinen el excedente o beneficio neto, en todo o en parte, en forma diferente a lo establecido en la legislación cooperativa vigente.</w:t>
      </w:r>
    </w:p>
    <w:p w14:paraId="14F7D15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3. 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14:paraId="0226714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14:paraId="17D4DB55"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4o.</w:t>
      </w:r>
    </w:p>
    <w:p w14:paraId="5BEF0F3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administración tributaria deberá proferir mediante acto administrativo debidamente motivado la decisión respectiva sobre la cual procederán los recursos de reposición y apelación. Mientras el acto administrativo correspondiente no se encuentre en firme, la entidad mantendrá su calidad de entidad sin ánimo de lucro sometida al Régimen Tributario Especial.</w:t>
      </w:r>
    </w:p>
    <w:p w14:paraId="7D289350"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364-4. REGISTRO ANTE LA AGENCIA PRESIDENCIAL DE COOPERACIÓN INTERNACIONAL DE COLOMBIA.</w:t>
      </w:r>
    </w:p>
    <w:p w14:paraId="18A86371"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fundaciones, asociaciones, corporaciones y las demás entidades nacionales sin ánimo de lucro, así como todas las entidades admitidas al Régimen Tributario Especial, deberán registrar ante la Agencia Presidencial de Cooperación Internacional de Colombia, APC-Colombia, los recursos de cooperación internacional no reembolsable que reciban o ejecuten en Colombia de personas extranjeras de derecho público o privado, Gobiernos extranjeros, organismos de derecho internacional, organismos de cooperación, asistencia o ayudas internacionales. APC-Colombia determinará el procedimiento de registro.</w:t>
      </w:r>
    </w:p>
    <w:p w14:paraId="0EFBB7CD" w14:textId="77777777" w:rsidR="00735F5E" w:rsidRPr="00735F5E" w:rsidRDefault="00735F5E" w:rsidP="00735F5E">
      <w:pPr>
        <w:shd w:val="clear" w:color="auto" w:fill="FFFFFF"/>
        <w:spacing w:after="0" w:line="360" w:lineRule="atLeast"/>
        <w:jc w:val="both"/>
        <w:rPr>
          <w:rFonts w:ascii="Arial" w:eastAsia="Times New Roman" w:hAnsi="Arial" w:cs="Arial"/>
          <w:color w:val="666666"/>
          <w:lang w:eastAsia="es-CO"/>
        </w:rPr>
      </w:pPr>
      <w:hyperlink r:id="rId6" w:tgtFrame="_self" w:history="1">
        <w:r w:rsidRPr="00735F5E">
          <w:rPr>
            <w:rFonts w:ascii="Arial" w:eastAsia="Times New Roman" w:hAnsi="Arial" w:cs="Arial"/>
            <w:color w:val="FFFFFF"/>
            <w:u w:val="single"/>
            <w:bdr w:val="none" w:sz="0" w:space="0" w:color="auto" w:frame="1"/>
            <w:shd w:val="clear" w:color="auto" w:fill="248DD3"/>
            <w:lang w:eastAsia="es-CO"/>
          </w:rPr>
          <w:t xml:space="preserve">Estatuto </w:t>
        </w:r>
        <w:proofErr w:type="spellStart"/>
        <w:r w:rsidRPr="00735F5E">
          <w:rPr>
            <w:rFonts w:ascii="Arial" w:eastAsia="Times New Roman" w:hAnsi="Arial" w:cs="Arial"/>
            <w:color w:val="FFFFFF"/>
            <w:u w:val="single"/>
            <w:bdr w:val="none" w:sz="0" w:space="0" w:color="auto" w:frame="1"/>
            <w:shd w:val="clear" w:color="auto" w:fill="248DD3"/>
            <w:lang w:eastAsia="es-CO"/>
          </w:rPr>
          <w:t>Triubutario</w:t>
        </w:r>
        <w:proofErr w:type="spellEnd"/>
        <w:r w:rsidRPr="00735F5E">
          <w:rPr>
            <w:rFonts w:ascii="Arial" w:eastAsia="Times New Roman" w:hAnsi="Arial" w:cs="Arial"/>
            <w:color w:val="FFFFFF"/>
            <w:u w:val="single"/>
            <w:bdr w:val="none" w:sz="0" w:space="0" w:color="auto" w:frame="1"/>
            <w:shd w:val="clear" w:color="auto" w:fill="248DD3"/>
            <w:lang w:eastAsia="es-CO"/>
          </w:rPr>
          <w:t xml:space="preserve">, </w:t>
        </w:r>
        <w:proofErr w:type="gramStart"/>
        <w:r w:rsidRPr="00735F5E">
          <w:rPr>
            <w:rFonts w:ascii="Arial" w:eastAsia="Times New Roman" w:hAnsi="Arial" w:cs="Arial"/>
            <w:color w:val="FFFFFF"/>
            <w:u w:val="single"/>
            <w:bdr w:val="none" w:sz="0" w:space="0" w:color="auto" w:frame="1"/>
            <w:shd w:val="clear" w:color="auto" w:fill="248DD3"/>
            <w:lang w:eastAsia="es-CO"/>
          </w:rPr>
          <w:t>CLICK</w:t>
        </w:r>
        <w:proofErr w:type="gramEnd"/>
        <w:r w:rsidRPr="00735F5E">
          <w:rPr>
            <w:rFonts w:ascii="Arial" w:eastAsia="Times New Roman" w:hAnsi="Arial" w:cs="Arial"/>
            <w:color w:val="FFFFFF"/>
            <w:u w:val="single"/>
            <w:bdr w:val="none" w:sz="0" w:space="0" w:color="auto" w:frame="1"/>
            <w:shd w:val="clear" w:color="auto" w:fill="248DD3"/>
            <w:lang w:eastAsia="es-CO"/>
          </w:rPr>
          <w:t xml:space="preserve"> AQUÍ</w:t>
        </w:r>
      </w:hyperlink>
    </w:p>
    <w:p w14:paraId="69C6ED77"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364-5. REGISTRO WEB Y REMISIÓN DE COMENTARIOS DE LA SOCIEDAD CIVIL.</w:t>
      </w:r>
    </w:p>
    <w:p w14:paraId="0F90DEB3"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El Gobierno nacional reglamentará los plazos y condiciones a los que se refiere este artículo.</w:t>
      </w:r>
    </w:p>
    <w:p w14:paraId="43BC4528"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entidad solicitante deberá, durante el término establecido en el reglamento para la calificación dentro del Régimen Tributario Especial, previa solicitud de la DIAN, remitir las explicaciones que correspondan para desestimar los comentarios y las observaciones presentadas por la comunidad.</w:t>
      </w:r>
    </w:p>
    <w:p w14:paraId="28B5D7F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Las entidades calificadas en el Régimen Tributario Especial deberán actualizar anualmente, en los primeros 3 meses de cada año, la información a la que se refiere este registro.</w:t>
      </w:r>
    </w:p>
    <w:p w14:paraId="632BD12F"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2304F4D5"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solicitud de calificación en el Régimen Tributario Especial incluye la autorización de publicar los datos que contiene el registro.</w:t>
      </w:r>
    </w:p>
    <w:p w14:paraId="1031536B"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p>
    <w:p w14:paraId="4F59E0A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registro de que trata el presente artículo será público y deberá contener, como mínimo:</w:t>
      </w:r>
    </w:p>
    <w:p w14:paraId="460C23A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 La denominación, la identificación y el domicilio de la entidad.</w:t>
      </w:r>
    </w:p>
    <w:p w14:paraId="5AC0DEB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2. La descripción de la actividad meritoria.</w:t>
      </w:r>
    </w:p>
    <w:p w14:paraId="342BED0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3. El monto y el destino de la reinversión del beneficio o excedente neto, cuando corresponda.</w:t>
      </w:r>
    </w:p>
    <w:p w14:paraId="14317014"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4. El monto y el destino de las asignaciones permanentes que se hayan realizado en el año y los plazos adicionales que estén autorizados por el máximo órgano social, cuando corresponda.</w:t>
      </w:r>
    </w:p>
    <w:p w14:paraId="47A561C4"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5. Los nombres e identificación de las personas que ocupan cargos gerenciales, directivos o de control.</w:t>
      </w:r>
      <w:r w:rsidRPr="00735F5E">
        <w:rPr>
          <w:rFonts w:ascii="Arial" w:eastAsia="Times New Roman" w:hAnsi="Arial" w:cs="Arial"/>
          <w:color w:val="666666"/>
          <w:lang w:eastAsia="es-CO"/>
        </w:rPr>
        <w:br/>
        <w:t>6. El monto total de pagos salariales a los miembros de los cuerpos directivos, sin obligación de discriminar los pagos individuales.</w:t>
      </w:r>
    </w:p>
    <w:p w14:paraId="2EA48661" w14:textId="77777777" w:rsidR="00735F5E" w:rsidRPr="00735F5E" w:rsidRDefault="00735F5E" w:rsidP="00735F5E">
      <w:pPr>
        <w:shd w:val="clear" w:color="auto" w:fill="FFFFFF"/>
        <w:spacing w:before="315" w:after="165" w:line="375" w:lineRule="atLeast"/>
        <w:jc w:val="both"/>
        <w:outlineLvl w:val="4"/>
        <w:rPr>
          <w:rFonts w:ascii="Arial" w:eastAsia="Times New Roman" w:hAnsi="Arial" w:cs="Arial"/>
          <w:color w:val="111111"/>
          <w:lang w:eastAsia="es-CO"/>
        </w:rPr>
      </w:pPr>
      <w:r w:rsidRPr="00735F5E">
        <w:rPr>
          <w:rFonts w:ascii="Arial" w:eastAsia="Times New Roman" w:hAnsi="Arial" w:cs="Arial"/>
          <w:color w:val="111111"/>
          <w:lang w:eastAsia="es-CO"/>
        </w:rPr>
        <w:t>7. Los nombres e identificación de los fundadores.</w:t>
      </w:r>
    </w:p>
    <w:p w14:paraId="78C3F979"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8. El monto del patrimonio a 31 de diciembre del año inmediatamente anterior.</w:t>
      </w:r>
    </w:p>
    <w:p w14:paraId="114686A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9. En caso de recibir donaciones, la identificación del donante y el monto de la donación, así como la destinación de </w:t>
      </w:r>
      <w:proofErr w:type="gramStart"/>
      <w:r w:rsidRPr="00735F5E">
        <w:rPr>
          <w:rFonts w:ascii="Arial" w:eastAsia="Times New Roman" w:hAnsi="Arial" w:cs="Arial"/>
          <w:color w:val="666666"/>
          <w:lang w:eastAsia="es-CO"/>
        </w:rPr>
        <w:t>la misma</w:t>
      </w:r>
      <w:proofErr w:type="gramEnd"/>
      <w:r w:rsidRPr="00735F5E">
        <w:rPr>
          <w:rFonts w:ascii="Arial" w:eastAsia="Times New Roman" w:hAnsi="Arial" w:cs="Arial"/>
          <w:color w:val="666666"/>
          <w:lang w:eastAsia="es-CO"/>
        </w:rPr>
        <w:t xml:space="preserve"> y el plazo proyectado para el gasto o la inversión. Para tales efectos, se entiende que la donación a una entidad del Régimen Tributario Especial es una autorización de publicar los datos que contiene el registro.</w:t>
      </w:r>
    </w:p>
    <w:p w14:paraId="59A96E17"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10. Cuando las donaciones se perciban en eventos colectivos, sin que sea posible la identificación particular de los donantes, se deberá inscribir el monto total percibido, la fecha y la destinación </w:t>
      </w:r>
      <w:proofErr w:type="gramStart"/>
      <w:r w:rsidRPr="00735F5E">
        <w:rPr>
          <w:rFonts w:ascii="Arial" w:eastAsia="Times New Roman" w:hAnsi="Arial" w:cs="Arial"/>
          <w:color w:val="666666"/>
          <w:lang w:eastAsia="es-CO"/>
        </w:rPr>
        <w:t>del mismo</w:t>
      </w:r>
      <w:proofErr w:type="gramEnd"/>
      <w:r w:rsidRPr="00735F5E">
        <w:rPr>
          <w:rFonts w:ascii="Arial" w:eastAsia="Times New Roman" w:hAnsi="Arial" w:cs="Arial"/>
          <w:color w:val="666666"/>
          <w:lang w:eastAsia="es-CO"/>
        </w:rPr>
        <w:t>.</w:t>
      </w:r>
    </w:p>
    <w:p w14:paraId="53F160F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11. Un informe anual de resultados que prevea datos sobre sus proyectos en curso y los finalizados, los ingresos, los contratos realizados, subsidios y aportes </w:t>
      </w:r>
      <w:proofErr w:type="gramStart"/>
      <w:r w:rsidRPr="00735F5E">
        <w:rPr>
          <w:rFonts w:ascii="Arial" w:eastAsia="Times New Roman" w:hAnsi="Arial" w:cs="Arial"/>
          <w:color w:val="666666"/>
          <w:lang w:eastAsia="es-CO"/>
        </w:rPr>
        <w:t>recibidos</w:t>
      </w:r>
      <w:proofErr w:type="gramEnd"/>
      <w:r w:rsidRPr="00735F5E">
        <w:rPr>
          <w:rFonts w:ascii="Arial" w:eastAsia="Times New Roman" w:hAnsi="Arial" w:cs="Arial"/>
          <w:color w:val="666666"/>
          <w:lang w:eastAsia="es-CO"/>
        </w:rPr>
        <w:t xml:space="preserve"> así como las metas logradas en beneficio de la comunidad.</w:t>
      </w:r>
    </w:p>
    <w:p w14:paraId="6E22B4AE"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12. Los estados financieros de la entidad.</w:t>
      </w:r>
    </w:p>
    <w:p w14:paraId="447A713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13. El certificado del representante legal o revisor fiscal, junto con la declaración de renta donde se evidencie que han cumplido con todos los requisitos durante el respectivo año, cuando corresponda.</w:t>
      </w:r>
    </w:p>
    <w:p w14:paraId="285559E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14. Los recursos de cooperación internacional no reembolsable que reciban o ejecuten.</w:t>
      </w:r>
    </w:p>
    <w:p w14:paraId="6D673C2C"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3o.</w:t>
      </w:r>
    </w:p>
    <w:p w14:paraId="2C7C5FD8"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registro de que trata el presente artículo podrá ser el registro de entidades sin ánimo de lucro que llevan las cámaras de comercio, en los términos y condiciones previstos en el Decreto ley 2150 de 1995, en el artículo 166 del Decreto ley 019 de 2012 y las demás normas que las sustituyan o modifiquen. En caso de ser así, las cámaras de comercio deberán garantizar que dicho registro sea accesible por el público desde un aplicativo web y que los comentarios recibidos sean dirigidos directamente a la Dirección de Impuestos y Aduanas Nacionales.</w:t>
      </w:r>
    </w:p>
    <w:p w14:paraId="3A759EB0"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Los derechos por la prestación del servicio registral son los previstos en las normas vigentes sobre la materia, particularmente en lo dispuesto en el Decreto ley 2150 de 1995 y artículo 182 de la Ley 1607 de 2012.</w:t>
      </w:r>
    </w:p>
    <w:p w14:paraId="4D5588C6"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4o.</w:t>
      </w:r>
    </w:p>
    <w:p w14:paraId="656CEEAA"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En cualquier caso, la información referida en el parágrafo anterior deberá ser publicada en la página web de cada entidad.</w:t>
      </w:r>
    </w:p>
    <w:p w14:paraId="1F0CEEB0"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5o.</w:t>
      </w:r>
    </w:p>
    <w:p w14:paraId="4E2DA43D"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Sin perjuicio de lo anterior, y para efectos de control, la Dirección de Impuestos y Aduanas Nacionales (DIAN) durante el año 2017 publicará en su página web, el nombre o razón social, número de identificación tributaria, representante legal e identificación, y actividad económica registrada en el RUT, para los comentarios de la sociedad civil.</w:t>
      </w:r>
    </w:p>
    <w:p w14:paraId="48028AE1"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6o.</w:t>
      </w:r>
    </w:p>
    <w:p w14:paraId="2496C7F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El administrador del registro de que trata el presente artículo observará las disposiciones sobre la protección de datos personales, especialmente aquellas contenidas en la Ley 1581 de 2012 y demás normas concordantes.</w:t>
      </w:r>
    </w:p>
    <w:p w14:paraId="4781E343"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7o.</w:t>
      </w:r>
    </w:p>
    <w:p w14:paraId="5CF8525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Sin perjuicio de lo establecido en el Parágrafo 1 del artículo 19 del presente Estatuto, las entidades de que trata el artículo 19-4 estarán obligadas a realizar el registro de que trata el presente artículo.</w:t>
      </w:r>
    </w:p>
    <w:p w14:paraId="3D7B94A5" w14:textId="77777777" w:rsidR="00735F5E" w:rsidRPr="00735F5E" w:rsidRDefault="00735F5E" w:rsidP="00735F5E">
      <w:pPr>
        <w:shd w:val="clear" w:color="auto" w:fill="FFFFFF"/>
        <w:spacing w:before="405" w:after="255" w:line="450" w:lineRule="atLeast"/>
        <w:jc w:val="both"/>
        <w:outlineLvl w:val="2"/>
        <w:rPr>
          <w:rFonts w:ascii="Arial" w:eastAsia="Times New Roman" w:hAnsi="Arial" w:cs="Arial"/>
          <w:color w:val="111111"/>
          <w:lang w:eastAsia="es-CO"/>
        </w:rPr>
      </w:pPr>
      <w:r w:rsidRPr="00735F5E">
        <w:rPr>
          <w:rFonts w:ascii="Arial" w:eastAsia="Times New Roman" w:hAnsi="Arial" w:cs="Arial"/>
          <w:b/>
          <w:bCs/>
          <w:color w:val="111111"/>
          <w:lang w:eastAsia="es-CO"/>
        </w:rPr>
        <w:t>ARTÍCULO 364-6. FISCALIZACIÓN EN CABEZA DE LA DIAN.</w:t>
      </w:r>
    </w:p>
    <w:p w14:paraId="49024AE4"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Dirección de Impuestos y Aduanas Nacionales (DIAN) ejercerá la fiscalización de las entidades sin ánimo de lucro y de aquellas que soliciten su calificación en el Régimen Tributario Especial, de acuerdo con el artículo 19.</w:t>
      </w:r>
    </w:p>
    <w:p w14:paraId="77FFFB92"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1o.</w:t>
      </w:r>
    </w:p>
    <w:p w14:paraId="3262FBB6"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La DIAN deberá incluir dentro de su plan anual de fiscalización un programa de control a las entidades sin ánimo de lucro y a las pertenecientes al Régimen Tributario Especial.</w:t>
      </w:r>
    </w:p>
    <w:p w14:paraId="1A5F4FB5" w14:textId="77777777" w:rsidR="00735F5E" w:rsidRPr="00735F5E" w:rsidRDefault="00735F5E" w:rsidP="00735F5E">
      <w:pPr>
        <w:shd w:val="clear" w:color="auto" w:fill="FFFFFF"/>
        <w:spacing w:before="360" w:after="210" w:line="435" w:lineRule="atLeast"/>
        <w:jc w:val="both"/>
        <w:outlineLvl w:val="3"/>
        <w:rPr>
          <w:rFonts w:ascii="Arial" w:eastAsia="Times New Roman" w:hAnsi="Arial" w:cs="Arial"/>
          <w:color w:val="111111"/>
          <w:lang w:eastAsia="es-CO"/>
        </w:rPr>
      </w:pPr>
      <w:r w:rsidRPr="00735F5E">
        <w:rPr>
          <w:rFonts w:ascii="Arial" w:eastAsia="Times New Roman" w:hAnsi="Arial" w:cs="Arial"/>
          <w:i/>
          <w:iCs/>
          <w:color w:val="111111"/>
          <w:lang w:eastAsia="es-CO"/>
        </w:rPr>
        <w:t>PARÁGRAFO 2o.</w:t>
      </w:r>
      <w:r w:rsidRPr="00735F5E">
        <w:rPr>
          <w:rFonts w:ascii="Arial" w:eastAsia="Times New Roman" w:hAnsi="Arial" w:cs="Arial"/>
          <w:color w:val="111111"/>
          <w:lang w:eastAsia="es-CO"/>
        </w:rPr>
        <w:t> L</w:t>
      </w:r>
    </w:p>
    <w:p w14:paraId="55819D62" w14:textId="77777777" w:rsidR="00735F5E" w:rsidRPr="00735F5E" w:rsidRDefault="00735F5E" w:rsidP="00735F5E">
      <w:pPr>
        <w:shd w:val="clear" w:color="auto" w:fill="FFFFFF"/>
        <w:spacing w:after="390" w:line="360" w:lineRule="atLeast"/>
        <w:jc w:val="both"/>
        <w:rPr>
          <w:rFonts w:ascii="Arial" w:eastAsia="Times New Roman" w:hAnsi="Arial" w:cs="Arial"/>
          <w:color w:val="666666"/>
          <w:lang w:eastAsia="es-CO"/>
        </w:rPr>
      </w:pPr>
      <w:r w:rsidRPr="00735F5E">
        <w:rPr>
          <w:rFonts w:ascii="Arial" w:eastAsia="Times New Roman" w:hAnsi="Arial" w:cs="Arial"/>
          <w:color w:val="666666"/>
          <w:lang w:eastAsia="es-CO"/>
        </w:rPr>
        <w:t xml:space="preserve">a DIAN reorganizará, mediante acto administrativo, su estructura, para garantizar que exista en el interior de </w:t>
      </w:r>
      <w:proofErr w:type="gramStart"/>
      <w:r w:rsidRPr="00735F5E">
        <w:rPr>
          <w:rFonts w:ascii="Arial" w:eastAsia="Times New Roman" w:hAnsi="Arial" w:cs="Arial"/>
          <w:color w:val="666666"/>
          <w:lang w:eastAsia="es-CO"/>
        </w:rPr>
        <w:t>la misma</w:t>
      </w:r>
      <w:proofErr w:type="gramEnd"/>
      <w:r w:rsidRPr="00735F5E">
        <w:rPr>
          <w:rFonts w:ascii="Arial" w:eastAsia="Times New Roman" w:hAnsi="Arial" w:cs="Arial"/>
          <w:color w:val="666666"/>
          <w:lang w:eastAsia="es-CO"/>
        </w:rPr>
        <w:t xml:space="preserve"> una dependencia, seccional o departamento que se encargue de la fiscalización y verificación de los requisitos de las entidades sin ánimo de lucro y de las pertenecientes al Régimen Tributario Especial.</w:t>
      </w:r>
    </w:p>
    <w:p w14:paraId="76BDFB40" w14:textId="77777777" w:rsidR="00735F5E" w:rsidRPr="00735F5E" w:rsidRDefault="00735F5E" w:rsidP="00735F5E">
      <w:pPr>
        <w:jc w:val="both"/>
        <w:rPr>
          <w:rFonts w:ascii="Arial" w:hAnsi="Arial" w:cs="Arial"/>
        </w:rPr>
      </w:pPr>
    </w:p>
    <w:sectPr w:rsidR="00735F5E" w:rsidRPr="00735F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5E"/>
    <w:rsid w:val="00735F5E"/>
    <w:rsid w:val="008F33D7"/>
    <w:rsid w:val="00AC7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A773"/>
  <w15:chartTrackingRefBased/>
  <w15:docId w15:val="{583DBF70-2955-472B-99D2-32A700F6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35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35F5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735F5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735F5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735F5E"/>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5F5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35F5E"/>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735F5E"/>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735F5E"/>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735F5E"/>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735F5E"/>
    <w:rPr>
      <w:b/>
      <w:bCs/>
    </w:rPr>
  </w:style>
  <w:style w:type="paragraph" w:styleId="NormalWeb">
    <w:name w:val="Normal (Web)"/>
    <w:basedOn w:val="Normal"/>
    <w:uiPriority w:val="99"/>
    <w:semiHidden/>
    <w:unhideWhenUsed/>
    <w:rsid w:val="00735F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735F5E"/>
    <w:rPr>
      <w:i/>
      <w:iCs/>
    </w:rPr>
  </w:style>
  <w:style w:type="character" w:styleId="Hipervnculo">
    <w:name w:val="Hyperlink"/>
    <w:basedOn w:val="Fuentedeprrafopredeter"/>
    <w:uiPriority w:val="99"/>
    <w:semiHidden/>
    <w:unhideWhenUsed/>
    <w:rsid w:val="00735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8388">
      <w:bodyDiv w:val="1"/>
      <w:marLeft w:val="0"/>
      <w:marRight w:val="0"/>
      <w:marTop w:val="0"/>
      <w:marBottom w:val="0"/>
      <w:divBdr>
        <w:top w:val="none" w:sz="0" w:space="0" w:color="auto"/>
        <w:left w:val="none" w:sz="0" w:space="0" w:color="auto"/>
        <w:bottom w:val="none" w:sz="0" w:space="0" w:color="auto"/>
        <w:right w:val="none" w:sz="0" w:space="0" w:color="auto"/>
      </w:divBdr>
      <w:divsChild>
        <w:div w:id="1603100189">
          <w:marLeft w:val="0"/>
          <w:marRight w:val="0"/>
          <w:marTop w:val="315"/>
          <w:marBottom w:val="0"/>
          <w:divBdr>
            <w:top w:val="none" w:sz="0" w:space="0" w:color="auto"/>
            <w:left w:val="none" w:sz="0" w:space="0" w:color="auto"/>
            <w:bottom w:val="none" w:sz="0" w:space="0" w:color="auto"/>
            <w:right w:val="none" w:sz="0" w:space="0" w:color="auto"/>
          </w:divBdr>
          <w:divsChild>
            <w:div w:id="1293558136">
              <w:marLeft w:val="0"/>
              <w:marRight w:val="0"/>
              <w:marTop w:val="0"/>
              <w:marBottom w:val="0"/>
              <w:divBdr>
                <w:top w:val="none" w:sz="0" w:space="0" w:color="auto"/>
                <w:left w:val="none" w:sz="0" w:space="0" w:color="auto"/>
                <w:bottom w:val="none" w:sz="0" w:space="0" w:color="auto"/>
                <w:right w:val="none" w:sz="0" w:space="0" w:color="auto"/>
              </w:divBdr>
              <w:divsChild>
                <w:div w:id="552037789">
                  <w:marLeft w:val="0"/>
                  <w:marRight w:val="0"/>
                  <w:marTop w:val="100"/>
                  <w:marBottom w:val="100"/>
                  <w:divBdr>
                    <w:top w:val="none" w:sz="0" w:space="0" w:color="auto"/>
                    <w:left w:val="none" w:sz="0" w:space="0" w:color="auto"/>
                    <w:bottom w:val="none" w:sz="0" w:space="0" w:color="auto"/>
                    <w:right w:val="none" w:sz="0" w:space="0" w:color="auto"/>
                  </w:divBdr>
                  <w:divsChild>
                    <w:div w:id="248273800">
                      <w:marLeft w:val="0"/>
                      <w:marRight w:val="0"/>
                      <w:marTop w:val="0"/>
                      <w:marBottom w:val="0"/>
                      <w:divBdr>
                        <w:top w:val="none" w:sz="0" w:space="0" w:color="auto"/>
                        <w:left w:val="none" w:sz="0" w:space="0" w:color="auto"/>
                        <w:bottom w:val="none" w:sz="0" w:space="0" w:color="auto"/>
                        <w:right w:val="none" w:sz="0" w:space="0" w:color="auto"/>
                      </w:divBdr>
                      <w:divsChild>
                        <w:div w:id="598292150">
                          <w:marLeft w:val="0"/>
                          <w:marRight w:val="0"/>
                          <w:marTop w:val="0"/>
                          <w:marBottom w:val="0"/>
                          <w:divBdr>
                            <w:top w:val="none" w:sz="0" w:space="0" w:color="auto"/>
                            <w:left w:val="none" w:sz="0" w:space="0" w:color="auto"/>
                            <w:bottom w:val="none" w:sz="0" w:space="0" w:color="auto"/>
                            <w:right w:val="none" w:sz="0" w:space="0" w:color="auto"/>
                          </w:divBdr>
                          <w:divsChild>
                            <w:div w:id="699163172">
                              <w:marLeft w:val="0"/>
                              <w:marRight w:val="0"/>
                              <w:marTop w:val="0"/>
                              <w:marBottom w:val="0"/>
                              <w:divBdr>
                                <w:top w:val="none" w:sz="0" w:space="0" w:color="auto"/>
                                <w:left w:val="none" w:sz="0" w:space="0" w:color="auto"/>
                                <w:bottom w:val="none" w:sz="0" w:space="0" w:color="auto"/>
                                <w:right w:val="none" w:sz="0" w:space="0" w:color="auto"/>
                              </w:divBdr>
                              <w:divsChild>
                                <w:div w:id="727996079">
                                  <w:marLeft w:val="0"/>
                                  <w:marRight w:val="0"/>
                                  <w:marTop w:val="0"/>
                                  <w:marBottom w:val="0"/>
                                  <w:divBdr>
                                    <w:top w:val="none" w:sz="0" w:space="0" w:color="auto"/>
                                    <w:left w:val="none" w:sz="0" w:space="0" w:color="auto"/>
                                    <w:bottom w:val="none" w:sz="0" w:space="0" w:color="auto"/>
                                    <w:right w:val="none" w:sz="0" w:space="0" w:color="auto"/>
                                  </w:divBdr>
                                  <w:divsChild>
                                    <w:div w:id="1330865891">
                                      <w:marLeft w:val="0"/>
                                      <w:marRight w:val="0"/>
                                      <w:marTop w:val="0"/>
                                      <w:marBottom w:val="0"/>
                                      <w:divBdr>
                                        <w:top w:val="none" w:sz="0" w:space="0" w:color="auto"/>
                                        <w:left w:val="none" w:sz="0" w:space="0" w:color="auto"/>
                                        <w:bottom w:val="none" w:sz="0" w:space="0" w:color="auto"/>
                                        <w:right w:val="none" w:sz="0" w:space="0" w:color="auto"/>
                                      </w:divBdr>
                                      <w:divsChild>
                                        <w:div w:id="278880572">
                                          <w:marLeft w:val="0"/>
                                          <w:marRight w:val="0"/>
                                          <w:marTop w:val="0"/>
                                          <w:marBottom w:val="0"/>
                                          <w:divBdr>
                                            <w:top w:val="none" w:sz="0" w:space="0" w:color="auto"/>
                                            <w:left w:val="none" w:sz="0" w:space="0" w:color="auto"/>
                                            <w:bottom w:val="none" w:sz="0" w:space="0" w:color="auto"/>
                                            <w:right w:val="none" w:sz="0" w:space="0" w:color="auto"/>
                                          </w:divBdr>
                                          <w:divsChild>
                                            <w:div w:id="639042741">
                                              <w:marLeft w:val="0"/>
                                              <w:marRight w:val="0"/>
                                              <w:marTop w:val="0"/>
                                              <w:marBottom w:val="0"/>
                                              <w:divBdr>
                                                <w:top w:val="none" w:sz="0" w:space="0" w:color="auto"/>
                                                <w:left w:val="none" w:sz="0" w:space="0" w:color="auto"/>
                                                <w:bottom w:val="none" w:sz="0" w:space="0" w:color="auto"/>
                                                <w:right w:val="none" w:sz="0" w:space="0" w:color="auto"/>
                                              </w:divBdr>
                                              <w:divsChild>
                                                <w:div w:id="475873792">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0"/>
                                                      <w:divBdr>
                                                        <w:top w:val="none" w:sz="0" w:space="0" w:color="auto"/>
                                                        <w:left w:val="none" w:sz="0" w:space="0" w:color="auto"/>
                                                        <w:bottom w:val="none" w:sz="0" w:space="0" w:color="auto"/>
                                                        <w:right w:val="none" w:sz="0" w:space="0" w:color="auto"/>
                                                      </w:divBdr>
                                                      <w:divsChild>
                                                        <w:div w:id="1198394207">
                                                          <w:marLeft w:val="0"/>
                                                          <w:marRight w:val="0"/>
                                                          <w:marTop w:val="0"/>
                                                          <w:marBottom w:val="0"/>
                                                          <w:divBdr>
                                                            <w:top w:val="none" w:sz="0" w:space="0" w:color="auto"/>
                                                            <w:left w:val="none" w:sz="0" w:space="0" w:color="auto"/>
                                                            <w:bottom w:val="none" w:sz="0" w:space="0" w:color="auto"/>
                                                            <w:right w:val="none" w:sz="0" w:space="0" w:color="auto"/>
                                                          </w:divBdr>
                                                        </w:div>
                                                      </w:divsChild>
                                                    </w:div>
                                                    <w:div w:id="1923756206">
                                                      <w:marLeft w:val="0"/>
                                                      <w:marRight w:val="0"/>
                                                      <w:marTop w:val="0"/>
                                                      <w:marBottom w:val="0"/>
                                                      <w:divBdr>
                                                        <w:top w:val="none" w:sz="0" w:space="0" w:color="auto"/>
                                                        <w:left w:val="none" w:sz="0" w:space="0" w:color="auto"/>
                                                        <w:bottom w:val="none" w:sz="0" w:space="0" w:color="auto"/>
                                                        <w:right w:val="none" w:sz="0" w:space="0" w:color="auto"/>
                                                      </w:divBdr>
                                                      <w:divsChild>
                                                        <w:div w:id="2056343300">
                                                          <w:marLeft w:val="0"/>
                                                          <w:marRight w:val="0"/>
                                                          <w:marTop w:val="0"/>
                                                          <w:marBottom w:val="0"/>
                                                          <w:divBdr>
                                                            <w:top w:val="none" w:sz="0" w:space="0" w:color="auto"/>
                                                            <w:left w:val="none" w:sz="0" w:space="0" w:color="auto"/>
                                                            <w:bottom w:val="none" w:sz="0" w:space="0" w:color="auto"/>
                                                            <w:right w:val="none" w:sz="0" w:space="0" w:color="auto"/>
                                                          </w:divBdr>
                                                          <w:divsChild>
                                                            <w:div w:id="9601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9628">
      <w:bodyDiv w:val="1"/>
      <w:marLeft w:val="0"/>
      <w:marRight w:val="0"/>
      <w:marTop w:val="0"/>
      <w:marBottom w:val="0"/>
      <w:divBdr>
        <w:top w:val="none" w:sz="0" w:space="0" w:color="auto"/>
        <w:left w:val="none" w:sz="0" w:space="0" w:color="auto"/>
        <w:bottom w:val="none" w:sz="0" w:space="0" w:color="auto"/>
        <w:right w:val="none" w:sz="0" w:space="0" w:color="auto"/>
      </w:divBdr>
      <w:divsChild>
        <w:div w:id="138768307">
          <w:marLeft w:val="0"/>
          <w:marRight w:val="0"/>
          <w:marTop w:val="315"/>
          <w:marBottom w:val="0"/>
          <w:divBdr>
            <w:top w:val="none" w:sz="0" w:space="0" w:color="auto"/>
            <w:left w:val="none" w:sz="0" w:space="0" w:color="auto"/>
            <w:bottom w:val="none" w:sz="0" w:space="0" w:color="auto"/>
            <w:right w:val="none" w:sz="0" w:space="0" w:color="auto"/>
          </w:divBdr>
          <w:divsChild>
            <w:div w:id="2048675205">
              <w:marLeft w:val="0"/>
              <w:marRight w:val="0"/>
              <w:marTop w:val="0"/>
              <w:marBottom w:val="0"/>
              <w:divBdr>
                <w:top w:val="none" w:sz="0" w:space="0" w:color="auto"/>
                <w:left w:val="none" w:sz="0" w:space="0" w:color="auto"/>
                <w:bottom w:val="none" w:sz="0" w:space="0" w:color="auto"/>
                <w:right w:val="none" w:sz="0" w:space="0" w:color="auto"/>
              </w:divBdr>
              <w:divsChild>
                <w:div w:id="2076662517">
                  <w:marLeft w:val="0"/>
                  <w:marRight w:val="0"/>
                  <w:marTop w:val="100"/>
                  <w:marBottom w:val="100"/>
                  <w:divBdr>
                    <w:top w:val="none" w:sz="0" w:space="0" w:color="auto"/>
                    <w:left w:val="none" w:sz="0" w:space="0" w:color="auto"/>
                    <w:bottom w:val="none" w:sz="0" w:space="0" w:color="auto"/>
                    <w:right w:val="none" w:sz="0" w:space="0" w:color="auto"/>
                  </w:divBdr>
                  <w:divsChild>
                    <w:div w:id="2107067300">
                      <w:marLeft w:val="0"/>
                      <w:marRight w:val="0"/>
                      <w:marTop w:val="0"/>
                      <w:marBottom w:val="0"/>
                      <w:divBdr>
                        <w:top w:val="none" w:sz="0" w:space="0" w:color="auto"/>
                        <w:left w:val="none" w:sz="0" w:space="0" w:color="auto"/>
                        <w:bottom w:val="none" w:sz="0" w:space="0" w:color="auto"/>
                        <w:right w:val="none" w:sz="0" w:space="0" w:color="auto"/>
                      </w:divBdr>
                      <w:divsChild>
                        <w:div w:id="7951416">
                          <w:marLeft w:val="0"/>
                          <w:marRight w:val="0"/>
                          <w:marTop w:val="0"/>
                          <w:marBottom w:val="0"/>
                          <w:divBdr>
                            <w:top w:val="none" w:sz="0" w:space="0" w:color="auto"/>
                            <w:left w:val="none" w:sz="0" w:space="0" w:color="auto"/>
                            <w:bottom w:val="none" w:sz="0" w:space="0" w:color="auto"/>
                            <w:right w:val="none" w:sz="0" w:space="0" w:color="auto"/>
                          </w:divBdr>
                          <w:divsChild>
                            <w:div w:id="1160542156">
                              <w:marLeft w:val="0"/>
                              <w:marRight w:val="0"/>
                              <w:marTop w:val="0"/>
                              <w:marBottom w:val="0"/>
                              <w:divBdr>
                                <w:top w:val="none" w:sz="0" w:space="0" w:color="auto"/>
                                <w:left w:val="none" w:sz="0" w:space="0" w:color="auto"/>
                                <w:bottom w:val="none" w:sz="0" w:space="0" w:color="auto"/>
                                <w:right w:val="none" w:sz="0" w:space="0" w:color="auto"/>
                              </w:divBdr>
                              <w:divsChild>
                                <w:div w:id="233392165">
                                  <w:marLeft w:val="0"/>
                                  <w:marRight w:val="0"/>
                                  <w:marTop w:val="0"/>
                                  <w:marBottom w:val="0"/>
                                  <w:divBdr>
                                    <w:top w:val="none" w:sz="0" w:space="0" w:color="auto"/>
                                    <w:left w:val="none" w:sz="0" w:space="0" w:color="auto"/>
                                    <w:bottom w:val="none" w:sz="0" w:space="0" w:color="auto"/>
                                    <w:right w:val="none" w:sz="0" w:space="0" w:color="auto"/>
                                  </w:divBdr>
                                  <w:divsChild>
                                    <w:div w:id="751051672">
                                      <w:marLeft w:val="0"/>
                                      <w:marRight w:val="0"/>
                                      <w:marTop w:val="0"/>
                                      <w:marBottom w:val="0"/>
                                      <w:divBdr>
                                        <w:top w:val="none" w:sz="0" w:space="0" w:color="auto"/>
                                        <w:left w:val="none" w:sz="0" w:space="0" w:color="auto"/>
                                        <w:bottom w:val="none" w:sz="0" w:space="0" w:color="auto"/>
                                        <w:right w:val="none" w:sz="0" w:space="0" w:color="auto"/>
                                      </w:divBdr>
                                      <w:divsChild>
                                        <w:div w:id="401951293">
                                          <w:marLeft w:val="0"/>
                                          <w:marRight w:val="0"/>
                                          <w:marTop w:val="0"/>
                                          <w:marBottom w:val="0"/>
                                          <w:divBdr>
                                            <w:top w:val="none" w:sz="0" w:space="0" w:color="auto"/>
                                            <w:left w:val="none" w:sz="0" w:space="0" w:color="auto"/>
                                            <w:bottom w:val="none" w:sz="0" w:space="0" w:color="auto"/>
                                            <w:right w:val="none" w:sz="0" w:space="0" w:color="auto"/>
                                          </w:divBdr>
                                          <w:divsChild>
                                            <w:div w:id="1206867284">
                                              <w:marLeft w:val="0"/>
                                              <w:marRight w:val="0"/>
                                              <w:marTop w:val="0"/>
                                              <w:marBottom w:val="0"/>
                                              <w:divBdr>
                                                <w:top w:val="none" w:sz="0" w:space="0" w:color="auto"/>
                                                <w:left w:val="none" w:sz="0" w:space="0" w:color="auto"/>
                                                <w:bottom w:val="none" w:sz="0" w:space="0" w:color="auto"/>
                                                <w:right w:val="none" w:sz="0" w:space="0" w:color="auto"/>
                                              </w:divBdr>
                                              <w:divsChild>
                                                <w:div w:id="1727993996">
                                                  <w:marLeft w:val="0"/>
                                                  <w:marRight w:val="0"/>
                                                  <w:marTop w:val="0"/>
                                                  <w:marBottom w:val="0"/>
                                                  <w:divBdr>
                                                    <w:top w:val="none" w:sz="0" w:space="0" w:color="auto"/>
                                                    <w:left w:val="none" w:sz="0" w:space="0" w:color="auto"/>
                                                    <w:bottom w:val="none" w:sz="0" w:space="0" w:color="auto"/>
                                                    <w:right w:val="none" w:sz="0" w:space="0" w:color="auto"/>
                                                  </w:divBdr>
                                                  <w:divsChild>
                                                    <w:div w:id="731463944">
                                                      <w:marLeft w:val="0"/>
                                                      <w:marRight w:val="0"/>
                                                      <w:marTop w:val="0"/>
                                                      <w:marBottom w:val="0"/>
                                                      <w:divBdr>
                                                        <w:top w:val="none" w:sz="0" w:space="0" w:color="auto"/>
                                                        <w:left w:val="none" w:sz="0" w:space="0" w:color="auto"/>
                                                        <w:bottom w:val="none" w:sz="0" w:space="0" w:color="auto"/>
                                                        <w:right w:val="none" w:sz="0" w:space="0" w:color="auto"/>
                                                      </w:divBdr>
                                                      <w:divsChild>
                                                        <w:div w:id="1089346373">
                                                          <w:marLeft w:val="0"/>
                                                          <w:marRight w:val="0"/>
                                                          <w:marTop w:val="0"/>
                                                          <w:marBottom w:val="0"/>
                                                          <w:divBdr>
                                                            <w:top w:val="none" w:sz="0" w:space="0" w:color="auto"/>
                                                            <w:left w:val="none" w:sz="0" w:space="0" w:color="auto"/>
                                                            <w:bottom w:val="none" w:sz="0" w:space="0" w:color="auto"/>
                                                            <w:right w:val="none" w:sz="0" w:space="0" w:color="auto"/>
                                                          </w:divBdr>
                                                        </w:div>
                                                      </w:divsChild>
                                                    </w:div>
                                                    <w:div w:id="507016556">
                                                      <w:marLeft w:val="0"/>
                                                      <w:marRight w:val="0"/>
                                                      <w:marTop w:val="0"/>
                                                      <w:marBottom w:val="0"/>
                                                      <w:divBdr>
                                                        <w:top w:val="none" w:sz="0" w:space="0" w:color="auto"/>
                                                        <w:left w:val="none" w:sz="0" w:space="0" w:color="auto"/>
                                                        <w:bottom w:val="none" w:sz="0" w:space="0" w:color="auto"/>
                                                        <w:right w:val="none" w:sz="0" w:space="0" w:color="auto"/>
                                                      </w:divBdr>
                                                      <w:divsChild>
                                                        <w:div w:id="595290474">
                                                          <w:marLeft w:val="0"/>
                                                          <w:marRight w:val="0"/>
                                                          <w:marTop w:val="0"/>
                                                          <w:marBottom w:val="0"/>
                                                          <w:divBdr>
                                                            <w:top w:val="none" w:sz="0" w:space="0" w:color="auto"/>
                                                            <w:left w:val="none" w:sz="0" w:space="0" w:color="auto"/>
                                                            <w:bottom w:val="none" w:sz="0" w:space="0" w:color="auto"/>
                                                            <w:right w:val="none" w:sz="0" w:space="0" w:color="auto"/>
                                                          </w:divBdr>
                                                          <w:divsChild>
                                                            <w:div w:id="1780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olombia.com/derecho/leyes/estatuto-tributario/" TargetMode="External"/><Relationship Id="rId11" Type="http://schemas.openxmlformats.org/officeDocument/2006/relationships/customXml" Target="../customXml/item3.xml"/><Relationship Id="rId5" Type="http://schemas.openxmlformats.org/officeDocument/2006/relationships/hyperlink" Target="https://encolombia.com/derecho/leyes/estatuto-tributario/retencion-fuente/" TargetMode="External"/><Relationship Id="rId10" Type="http://schemas.openxmlformats.org/officeDocument/2006/relationships/customXml" Target="../customXml/item2.xml"/><Relationship Id="rId4" Type="http://schemas.openxmlformats.org/officeDocument/2006/relationships/hyperlink" Target="https://encolombia.com/economia/empresas/transporte-mercancias-emprendimiento/transporte-mercancia-tiendas-alimentos/" TargetMode="Externa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CE928-16BC-4500-B7C2-B538D74785C1}"/>
</file>

<file path=customXml/itemProps2.xml><?xml version="1.0" encoding="utf-8"?>
<ds:datastoreItem xmlns:ds="http://schemas.openxmlformats.org/officeDocument/2006/customXml" ds:itemID="{3D029BAD-B89D-43C4-87A0-4A4AC3D911F9}"/>
</file>

<file path=customXml/itemProps3.xml><?xml version="1.0" encoding="utf-8"?>
<ds:datastoreItem xmlns:ds="http://schemas.openxmlformats.org/officeDocument/2006/customXml" ds:itemID="{B68C59F7-E1EA-43F6-B8F4-2F4A5B217877}"/>
</file>

<file path=docProps/app.xml><?xml version="1.0" encoding="utf-8"?>
<Properties xmlns="http://schemas.openxmlformats.org/officeDocument/2006/extended-properties" xmlns:vt="http://schemas.openxmlformats.org/officeDocument/2006/docPropsVTypes">
  <Template>Normal</Template>
  <TotalTime>10</TotalTime>
  <Pages>19</Pages>
  <Words>5233</Words>
  <Characters>28787</Characters>
  <Application>Microsoft Office Word</Application>
  <DocSecurity>0</DocSecurity>
  <Lines>239</Lines>
  <Paragraphs>67</Paragraphs>
  <ScaleCrop>false</ScaleCrop>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3</cp:revision>
  <dcterms:created xsi:type="dcterms:W3CDTF">2021-09-16T22:26:00Z</dcterms:created>
  <dcterms:modified xsi:type="dcterms:W3CDTF">2021-09-16T22:36:00Z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